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Rapport de coronarographie de recherche</w:t>
      </w:r>
    </w:p>
    <w:p>
      <w:r>
        <w:t>Faculté de Médecine et de Pharmacie d Agadir - Université Ibn Zohr</w:t>
      </w:r>
    </w:p>
    <w:p>
      <w:r>
        <w:t>Patient : Amine B. (P-2026-008), homme de 61 ans</w:t>
      </w:r>
    </w:p>
    <w:p>
      <w:r>
        <w:t>Examen : CAG-2026-0318 - 30/09/2026</w:t>
      </w:r>
    </w:p>
    <w:p>
      <w:r>
        <w:t>Modalité : coronarographie invasive, analyse de recherche</w:t>
      </w:r>
    </w:p>
    <w:p>
      <w:r>
        <w:rPr>
          <w:b/>
          <w:sz w:val="26"/>
        </w:rPr>
        <w:t>Résultats lésionnels</w:t>
      </w:r>
    </w:p>
    <w:p>
      <w:r>
        <w:t>1. IVA proximale : réduction diamétrique 72 %, longueur 11,4 mm, DLM 0,78 mm, diamètre de référence 2,79 mm, focale excentrique, type B1, sévère.</w:t>
      </w:r>
    </w:p>
    <w:p>
      <w:r>
        <w:t>2. IVA moyenne : réduction diamétrique 55 %, longueur 16,2 mm, DLM 1,21 mm, diamètre de référence 2,69 mm, tubulaire excentrique, type B1, modérée.</w:t>
      </w:r>
    </w:p>
    <w:p>
      <w:r>
        <w:t>3. RCA proximale : réduction diamétrique 82 %, longueur 9,8 mm, DLM 0,62 mm, diamètre de référence 3,44 mm, focale concentrique, type B2, sévère.</w:t>
      </w:r>
    </w:p>
    <w:p>
      <w:r>
        <w:rPr>
          <w:b/>
          <w:sz w:val="26"/>
        </w:rPr>
        <w:t>Synthèse structurée</w:t>
      </w:r>
    </w:p>
    <w:p>
      <w:r>
        <w:t>Trois lésions coronaires sont identifiées. La lésion prédominante est localisée sur la RCA proximale, avec une réduction diamétrique estimée à 82 % et une morphologie focale concentrique de type B2.</w:t>
      </w:r>
    </w:p>
    <w:p>
      <w:r>
        <w:t>Méthode : réduction de diamètre = (1 - diamètre luminal minimal / diamètre de référence) x 100. Terminologie de complexité inspirée de la classification angiographique ACC AHA.</w:t>
      </w:r>
    </w:p>
    <w:p>
      <w:r>
        <w:t>Document destiné à la recherche et à la démonstration. Toute interprétation clinique doit être validée par un opérateur qualifié.</w:t>
      </w:r>
    </w:p>
    <w:sectPr w:rsidR="00FC693F" w:rsidRPr="0006063C" w:rsidSect="00034616"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